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8B" w:rsidRDefault="0027203A" w:rsidP="0027203A">
      <w:pPr>
        <w:jc w:val="right"/>
      </w:pPr>
      <w:r w:rsidRPr="0087312E">
        <w:rPr>
          <w:highlight w:val="black"/>
        </w:rPr>
        <w:t xml:space="preserve">Pam </w:t>
      </w:r>
      <w:proofErr w:type="spellStart"/>
      <w:r w:rsidRPr="0087312E">
        <w:rPr>
          <w:highlight w:val="black"/>
        </w:rPr>
        <w:t>TIndle</w:t>
      </w:r>
      <w:proofErr w:type="spellEnd"/>
    </w:p>
    <w:p w:rsidR="001F6F4E" w:rsidRDefault="001F6F4E" w:rsidP="0027203A">
      <w:pPr>
        <w:jc w:val="right"/>
      </w:pPr>
      <w:r>
        <w:t>0</w:t>
      </w:r>
      <w:r w:rsidR="0087312E">
        <w:t>9</w:t>
      </w:r>
      <w:r>
        <w:t>/17/2012</w:t>
      </w:r>
    </w:p>
    <w:p w:rsidR="001F6F4E" w:rsidRDefault="001F6F4E" w:rsidP="0027203A">
      <w:pPr>
        <w:jc w:val="right"/>
      </w:pPr>
      <w:r>
        <w:t>Eight Types of Charts Using Excel</w:t>
      </w:r>
    </w:p>
    <w:p w:rsidR="0027203A" w:rsidRDefault="0027203A" w:rsidP="0027203A">
      <w:pPr>
        <w:jc w:val="right"/>
      </w:pPr>
      <w:r>
        <w:t>8 Types of Graphs</w:t>
      </w:r>
    </w:p>
    <w:p w:rsidR="006C2394" w:rsidRDefault="006C2394" w:rsidP="006C2394">
      <w:r>
        <w:t>My First Chart</w:t>
      </w:r>
    </w:p>
    <w:p w:rsidR="006C2394" w:rsidRDefault="006C2394" w:rsidP="006C2394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7203A" w:rsidRDefault="0027203A" w:rsidP="0027203A">
      <w:pPr>
        <w:jc w:val="right"/>
      </w:pPr>
    </w:p>
    <w:p w:rsidR="0027203A" w:rsidRDefault="0027203A" w:rsidP="0027203A">
      <w:r>
        <w:t>Graph #1</w:t>
      </w:r>
    </w:p>
    <w:p w:rsidR="0027203A" w:rsidRDefault="00947670" w:rsidP="0027203A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203A" w:rsidRDefault="0027203A" w:rsidP="0027203A"/>
    <w:p w:rsidR="0027203A" w:rsidRDefault="0027203A" w:rsidP="0027203A">
      <w:r>
        <w:t>Graph #2</w:t>
      </w:r>
    </w:p>
    <w:p w:rsidR="0027203A" w:rsidRDefault="00947670" w:rsidP="0027203A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203A" w:rsidRDefault="0027203A" w:rsidP="0027203A"/>
    <w:p w:rsidR="0027203A" w:rsidRDefault="0027203A" w:rsidP="0027203A">
      <w:r>
        <w:t>Chart #3</w:t>
      </w:r>
    </w:p>
    <w:p w:rsidR="0027203A" w:rsidRDefault="003B41E8" w:rsidP="0027203A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203A" w:rsidRDefault="0027203A" w:rsidP="0027203A"/>
    <w:p w:rsidR="0027203A" w:rsidRDefault="0027203A" w:rsidP="0027203A">
      <w:r>
        <w:t>Graph #4</w:t>
      </w:r>
    </w:p>
    <w:p w:rsidR="0027203A" w:rsidRDefault="00E15578" w:rsidP="0027203A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203A" w:rsidRDefault="0027203A" w:rsidP="0027203A"/>
    <w:p w:rsidR="0027203A" w:rsidRDefault="0027203A" w:rsidP="0027203A"/>
    <w:p w:rsidR="0027203A" w:rsidRDefault="0027203A" w:rsidP="0027203A"/>
    <w:p w:rsidR="0027203A" w:rsidRDefault="0027203A" w:rsidP="0027203A"/>
    <w:p w:rsidR="0027203A" w:rsidRDefault="0027203A" w:rsidP="0027203A">
      <w:r>
        <w:t>Graph #5</w:t>
      </w:r>
    </w:p>
    <w:p w:rsidR="0027203A" w:rsidRDefault="000413BD" w:rsidP="0027203A">
      <w:r>
        <w:rPr>
          <w:noProof/>
        </w:rPr>
        <w:drawing>
          <wp:inline distT="0" distB="0" distL="0" distR="0">
            <wp:extent cx="5943600" cy="1989455"/>
            <wp:effectExtent l="0" t="0" r="19050" b="1079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03A" w:rsidRDefault="0027203A" w:rsidP="0027203A"/>
    <w:p w:rsidR="0027203A" w:rsidRDefault="0027203A" w:rsidP="0027203A">
      <w:r>
        <w:t>Graph #6</w:t>
      </w:r>
    </w:p>
    <w:p w:rsidR="0027203A" w:rsidRDefault="000413BD" w:rsidP="0027203A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7A6" w:rsidRDefault="00EA17A6" w:rsidP="0027203A"/>
    <w:p w:rsidR="00EA17A6" w:rsidRDefault="00EA17A6" w:rsidP="0027203A">
      <w:r>
        <w:t>Graph # 7</w:t>
      </w:r>
    </w:p>
    <w:p w:rsidR="00EA17A6" w:rsidRDefault="00896BB8" w:rsidP="0027203A">
      <w:r>
        <w:rPr>
          <w:noProof/>
        </w:rPr>
        <w:drawing>
          <wp:inline distT="0" distB="0" distL="0" distR="0">
            <wp:extent cx="5943600" cy="4310380"/>
            <wp:effectExtent l="0" t="0" r="19050" b="1397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14BA" w:rsidRDefault="005B14BA" w:rsidP="0027203A"/>
    <w:p w:rsidR="00EA17A6" w:rsidRDefault="00870D6B" w:rsidP="0027203A">
      <w:bookmarkStart w:id="0" w:name="_GoBack"/>
      <w:bookmarkEnd w:id="0"/>
      <w:r>
        <w:lastRenderedPageBreak/>
        <w:t>Graph #8</w:t>
      </w:r>
    </w:p>
    <w:p w:rsidR="00870D6B" w:rsidRDefault="00896BB8" w:rsidP="0027203A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870D6B" w:rsidSect="00C8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27203A"/>
    <w:rsid w:val="000413BD"/>
    <w:rsid w:val="001F6F4E"/>
    <w:rsid w:val="0027203A"/>
    <w:rsid w:val="003B41E8"/>
    <w:rsid w:val="0058618B"/>
    <w:rsid w:val="005B14BA"/>
    <w:rsid w:val="005C54EF"/>
    <w:rsid w:val="006C1BBE"/>
    <w:rsid w:val="006C2394"/>
    <w:rsid w:val="00870D6B"/>
    <w:rsid w:val="0087312E"/>
    <w:rsid w:val="00896BB8"/>
    <w:rsid w:val="00947670"/>
    <w:rsid w:val="00C8546F"/>
    <w:rsid w:val="00E15578"/>
    <w:rsid w:val="00E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microsoft.com/office/2007/relationships/stylesWithEffects" Target="stylesWithEffects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05-WIN-S05\0224DATA\USERS\TEACHERS\TINDLPJ\Dropbox\Touro\Excel\Copy%20of%20Constructing_8_types_of_graphs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05-WIN-S05\0224DATA\USERS\TEACHERS\TINDLPJ\Dropbox\Touro\Excel\Copy%20of%20Constructing_8_types_of_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05-WIN-S05\0224DATA\USERS\TEACHERS\TINDLPJ\Dropbox\Touro\Excel\Copy%20of%20Constructing_8_types_of_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05-WIN-S05\0224DATA\USERS\TEACHERS\TINDLPJ\Dropbox\Touro\Excel\Copy%20of%20Constructing_8_types_of_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05-WIN-S05\0224DATA\USERS\TEACHERS\TINDLPJ\Dropbox\Touro\Excel\Copy%20of%20Constructing_8_types_of_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05-WIN-S05\0224DATA\USERS\TEACHERS\TINDLPJ\Dropbox\Touro\Excel\Copy%20of%20Constructing_8_types_of_graph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05-WIN-S05\0224DATA\USERS\TEACHERS\TINDLPJ\Dropbox\Touro\Excel\Copy%20of%20Constructing_8_types_of_graph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05-WIN-S05\0224DATA\USERS\TEACHERS\TINDLPJ\Dropbox\Touro\Excel\Copy%20of%20Constructing_8_types_of_graph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05-WIN-S05\0224DATA\USERS\TEACHERS\TINDLPJ\Dropbox\Touro\Excel\Copy%20of%20Constructing_8_types_of_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Amount of Water Lost from a Leaky Faucet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Sheet2!$A$1:$A$10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val>
            <c:numRef>
              <c:f>Sheet2!$B$1:$B$10</c:f>
              <c:numCache>
                <c:formatCode>General</c:formatCode>
                <c:ptCount val="10"/>
                <c:pt idx="0">
                  <c:v>360</c:v>
                </c:pt>
                <c:pt idx="1">
                  <c:v>720</c:v>
                </c:pt>
                <c:pt idx="2">
                  <c:v>1080</c:v>
                </c:pt>
                <c:pt idx="3">
                  <c:v>1440</c:v>
                </c:pt>
                <c:pt idx="4">
                  <c:v>1800</c:v>
                </c:pt>
                <c:pt idx="5">
                  <c:v>2160</c:v>
                </c:pt>
                <c:pt idx="6">
                  <c:v>2520</c:v>
                </c:pt>
                <c:pt idx="7">
                  <c:v>2880</c:v>
                </c:pt>
                <c:pt idx="8">
                  <c:v>3240</c:v>
                </c:pt>
                <c:pt idx="9">
                  <c:v>3600</c:v>
                </c:pt>
              </c:numCache>
            </c:numRef>
          </c:val>
        </c:ser>
        <c:axId val="175331968"/>
        <c:axId val="175031040"/>
      </c:barChart>
      <c:catAx>
        <c:axId val="175331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Drops per Minute</a:t>
                </a:r>
              </a:p>
            </c:rich>
          </c:tx>
        </c:title>
        <c:tickLblPos val="nextTo"/>
        <c:crossAx val="175031040"/>
        <c:crosses val="autoZero"/>
        <c:auto val="1"/>
        <c:lblAlgn val="ctr"/>
        <c:lblOffset val="100"/>
      </c:catAx>
      <c:valAx>
        <c:axId val="1750310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Millions Lost per Day</a:t>
                </a:r>
              </a:p>
            </c:rich>
          </c:tx>
        </c:title>
        <c:numFmt formatCode="General" sourceLinked="1"/>
        <c:tickLblPos val="nextTo"/>
        <c:crossAx val="17533196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1"/>
  <c:chart>
    <c:title>
      <c:tx>
        <c:rich>
          <a:bodyPr/>
          <a:lstStyle/>
          <a:p>
            <a:pPr>
              <a:defRPr/>
            </a:pPr>
            <a:r>
              <a:rPr lang="en-US"/>
              <a:t>Monthly Houshold Expenses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Column!$B$1</c:f>
              <c:strCache>
                <c:ptCount val="1"/>
                <c:pt idx="0">
                  <c:v>Amount</c:v>
                </c:pt>
              </c:strCache>
            </c:strRef>
          </c:tx>
          <c:cat>
            <c:strRef>
              <c:f>Column!$A$2:$A$10</c:f>
              <c:strCache>
                <c:ptCount val="9"/>
                <c:pt idx="0">
                  <c:v>House payment</c:v>
                </c:pt>
                <c:pt idx="1">
                  <c:v>Utilities</c:v>
                </c:pt>
                <c:pt idx="2">
                  <c:v>Church</c:v>
                </c:pt>
                <c:pt idx="3">
                  <c:v>Food</c:v>
                </c:pt>
                <c:pt idx="4">
                  <c:v>Clothing</c:v>
                </c:pt>
                <c:pt idx="5">
                  <c:v>Car</c:v>
                </c:pt>
                <c:pt idx="6">
                  <c:v>Entertainment</c:v>
                </c:pt>
                <c:pt idx="7">
                  <c:v>Savings</c:v>
                </c:pt>
                <c:pt idx="8">
                  <c:v>Miscellaneous</c:v>
                </c:pt>
              </c:strCache>
            </c:strRef>
          </c:cat>
          <c:val>
            <c:numRef>
              <c:f>Column!$B$2:$B$10</c:f>
              <c:numCache>
                <c:formatCode>"$"#,##0.00</c:formatCode>
                <c:ptCount val="9"/>
                <c:pt idx="0">
                  <c:v>950</c:v>
                </c:pt>
                <c:pt idx="1">
                  <c:v>250</c:v>
                </c:pt>
                <c:pt idx="2">
                  <c:v>300</c:v>
                </c:pt>
                <c:pt idx="3">
                  <c:v>375</c:v>
                </c:pt>
                <c:pt idx="4">
                  <c:v>200</c:v>
                </c:pt>
                <c:pt idx="5">
                  <c:v>425</c:v>
                </c:pt>
                <c:pt idx="6">
                  <c:v>75</c:v>
                </c:pt>
                <c:pt idx="7">
                  <c:v>175</c:v>
                </c:pt>
                <c:pt idx="8">
                  <c:v>300</c:v>
                </c:pt>
              </c:numCache>
            </c:numRef>
          </c:val>
        </c:ser>
        <c:axId val="175202688"/>
        <c:axId val="175204608"/>
      </c:barChart>
      <c:catAx>
        <c:axId val="175202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Expense</a:t>
                </a:r>
              </a:p>
            </c:rich>
          </c:tx>
        </c:title>
        <c:tickLblPos val="nextTo"/>
        <c:crossAx val="175204608"/>
        <c:crosses val="autoZero"/>
        <c:auto val="1"/>
        <c:lblAlgn val="ctr"/>
        <c:lblOffset val="100"/>
      </c:catAx>
      <c:valAx>
        <c:axId val="1752046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in Dollars</a:t>
                </a:r>
              </a:p>
            </c:rich>
          </c:tx>
        </c:title>
        <c:numFmt formatCode="&quot;$&quot;#,##0.00" sourceLinked="1"/>
        <c:tickLblPos val="nextTo"/>
        <c:crossAx val="17520268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Bargraph!$B$1:$B$2</c:f>
              <c:strCache>
                <c:ptCount val="1"/>
                <c:pt idx="0">
                  <c:v>Selected US Exports Billions of Dollars</c:v>
                </c:pt>
              </c:strCache>
            </c:strRef>
          </c:tx>
          <c:cat>
            <c:strRef>
              <c:f>Bargraph!$A$3:$A$7</c:f>
              <c:strCache>
                <c:ptCount val="5"/>
                <c:pt idx="0">
                  <c:v>Machinery</c:v>
                </c:pt>
                <c:pt idx="1">
                  <c:v>Chemicals </c:v>
                </c:pt>
                <c:pt idx="2">
                  <c:v>Food</c:v>
                </c:pt>
                <c:pt idx="3">
                  <c:v>Vehicles</c:v>
                </c:pt>
                <c:pt idx="4">
                  <c:v>Mineral Fuels</c:v>
                </c:pt>
              </c:strCache>
            </c:strRef>
          </c:cat>
          <c:val>
            <c:numRef>
              <c:f>Bargraph!$B$3:$B$7</c:f>
              <c:numCache>
                <c:formatCode>General</c:formatCode>
                <c:ptCount val="5"/>
                <c:pt idx="0">
                  <c:v>150</c:v>
                </c:pt>
                <c:pt idx="1">
                  <c:v>42</c:v>
                </c:pt>
                <c:pt idx="2">
                  <c:v>25</c:v>
                </c:pt>
                <c:pt idx="3">
                  <c:v>18</c:v>
                </c:pt>
                <c:pt idx="4">
                  <c:v>7</c:v>
                </c:pt>
              </c:numCache>
            </c:numRef>
          </c:val>
        </c:ser>
        <c:shape val="pyramid"/>
        <c:axId val="175311104"/>
        <c:axId val="175374720"/>
        <c:axId val="0"/>
      </c:bar3DChart>
      <c:catAx>
        <c:axId val="17531110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Export Item</a:t>
                </a:r>
              </a:p>
            </c:rich>
          </c:tx>
        </c:title>
        <c:tickLblPos val="nextTo"/>
        <c:crossAx val="175374720"/>
        <c:crosses val="autoZero"/>
        <c:auto val="1"/>
        <c:lblAlgn val="ctr"/>
        <c:lblOffset val="100"/>
      </c:catAx>
      <c:valAx>
        <c:axId val="17537472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Amount in Billions of US Dollars</a:t>
                </a:r>
              </a:p>
            </c:rich>
          </c:tx>
        </c:title>
        <c:numFmt formatCode="General" sourceLinked="1"/>
        <c:tickLblPos val="nextTo"/>
        <c:crossAx val="17531110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Five Top Trading Partners of the US Exports Percent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Piegraph!$B$2</c:f>
              <c:strCache>
                <c:ptCount val="1"/>
                <c:pt idx="0">
                  <c:v>Percent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Piegraph!$A$3:$A$8</c:f>
              <c:strCache>
                <c:ptCount val="6"/>
                <c:pt idx="0">
                  <c:v>Germany</c:v>
                </c:pt>
                <c:pt idx="1">
                  <c:v>United Kingdom</c:v>
                </c:pt>
                <c:pt idx="2">
                  <c:v>Mexico</c:v>
                </c:pt>
                <c:pt idx="3">
                  <c:v>Japan</c:v>
                </c:pt>
                <c:pt idx="4">
                  <c:v>Canada</c:v>
                </c:pt>
                <c:pt idx="5">
                  <c:v>Other Countries</c:v>
                </c:pt>
              </c:strCache>
            </c:strRef>
          </c:cat>
          <c:val>
            <c:numRef>
              <c:f>Piegraph!$B$3:$B$8</c:f>
              <c:numCache>
                <c:formatCode>0%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9.0000000000000024E-2</c:v>
                </c:pt>
                <c:pt idx="3">
                  <c:v>0.11</c:v>
                </c:pt>
                <c:pt idx="4">
                  <c:v>0.2</c:v>
                </c:pt>
                <c:pt idx="5">
                  <c:v>0.5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smoothMarker"/>
        <c:ser>
          <c:idx val="0"/>
          <c:order val="0"/>
          <c:tx>
            <c:strRef>
              <c:f>Linegraph!$B$1:$B$2</c:f>
              <c:strCache>
                <c:ptCount val="1"/>
                <c:pt idx="0">
                  <c:v>US Exports Amount in Dollars</c:v>
                </c:pt>
              </c:strCache>
            </c:strRef>
          </c:tx>
          <c:xVal>
            <c:numRef>
              <c:f>Linegraph!$A$3:$A$8</c:f>
              <c:numCache>
                <c:formatCode>General</c:formatCode>
                <c:ptCount val="6"/>
                <c:pt idx="0">
                  <c:v>1970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</c:numCache>
            </c:numRef>
          </c:xVal>
          <c:yVal>
            <c:numRef>
              <c:f>Linegraph!$B$3:$B$8</c:f>
              <c:numCache>
                <c:formatCode>General</c:formatCode>
                <c:ptCount val="6"/>
                <c:pt idx="0">
                  <c:v>50</c:v>
                </c:pt>
                <c:pt idx="1">
                  <c:v>110</c:v>
                </c:pt>
                <c:pt idx="2">
                  <c:v>240</c:v>
                </c:pt>
                <c:pt idx="3">
                  <c:v>230</c:v>
                </c:pt>
                <c:pt idx="4">
                  <c:v>380</c:v>
                </c:pt>
                <c:pt idx="5">
                  <c:v>475</c:v>
                </c:pt>
              </c:numCache>
            </c:numRef>
          </c:yVal>
          <c:smooth val="1"/>
        </c:ser>
        <c:axId val="175450368"/>
        <c:axId val="175481216"/>
      </c:scatterChart>
      <c:valAx>
        <c:axId val="175450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</c:title>
        <c:numFmt formatCode="General" sourceLinked="1"/>
        <c:tickLblPos val="nextTo"/>
        <c:crossAx val="175481216"/>
        <c:crosses val="autoZero"/>
        <c:crossBetween val="midCat"/>
      </c:valAx>
      <c:valAx>
        <c:axId val="1754812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in US Dollars </a:t>
                </a:r>
              </a:p>
            </c:rich>
          </c:tx>
        </c:title>
        <c:numFmt formatCode="General" sourceLinked="1"/>
        <c:tickLblPos val="nextTo"/>
        <c:crossAx val="175450368"/>
        <c:crosses val="autoZero"/>
        <c:crossBetween val="midCat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October Temperatures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ScatterPlot!$B$2</c:f>
              <c:strCache>
                <c:ptCount val="1"/>
                <c:pt idx="0">
                  <c:v>Temperature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1.4787225008857708E-4"/>
                  <c:y val="0.12087306794983962"/>
                </c:manualLayout>
              </c:layout>
              <c:numFmt formatCode="General" sourceLinked="0"/>
            </c:trendlineLbl>
          </c:trendline>
          <c:xVal>
            <c:numRef>
              <c:f>ScatterPlot!$A$3:$A$33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xVal>
          <c:yVal>
            <c:numRef>
              <c:f>ScatterPlot!$B$3:$B$33</c:f>
              <c:numCache>
                <c:formatCode>General</c:formatCode>
                <c:ptCount val="31"/>
                <c:pt idx="0">
                  <c:v>88</c:v>
                </c:pt>
                <c:pt idx="1">
                  <c:v>86</c:v>
                </c:pt>
                <c:pt idx="2">
                  <c:v>86</c:v>
                </c:pt>
                <c:pt idx="3">
                  <c:v>85</c:v>
                </c:pt>
                <c:pt idx="4">
                  <c:v>85</c:v>
                </c:pt>
                <c:pt idx="5">
                  <c:v>83</c:v>
                </c:pt>
                <c:pt idx="6">
                  <c:v>75</c:v>
                </c:pt>
                <c:pt idx="7">
                  <c:v>70</c:v>
                </c:pt>
                <c:pt idx="8">
                  <c:v>70</c:v>
                </c:pt>
                <c:pt idx="9">
                  <c:v>72</c:v>
                </c:pt>
                <c:pt idx="10">
                  <c:v>75</c:v>
                </c:pt>
                <c:pt idx="11">
                  <c:v>77</c:v>
                </c:pt>
                <c:pt idx="12">
                  <c:v>80</c:v>
                </c:pt>
                <c:pt idx="13">
                  <c:v>83</c:v>
                </c:pt>
                <c:pt idx="14">
                  <c:v>85</c:v>
                </c:pt>
                <c:pt idx="15">
                  <c:v>84</c:v>
                </c:pt>
                <c:pt idx="16">
                  <c:v>80</c:v>
                </c:pt>
                <c:pt idx="17">
                  <c:v>75</c:v>
                </c:pt>
                <c:pt idx="18">
                  <c:v>75</c:v>
                </c:pt>
                <c:pt idx="19">
                  <c:v>72</c:v>
                </c:pt>
                <c:pt idx="20">
                  <c:v>65</c:v>
                </c:pt>
                <c:pt idx="21">
                  <c:v>64</c:v>
                </c:pt>
                <c:pt idx="22">
                  <c:v>62</c:v>
                </c:pt>
                <c:pt idx="23">
                  <c:v>59</c:v>
                </c:pt>
                <c:pt idx="24">
                  <c:v>59</c:v>
                </c:pt>
                <c:pt idx="25">
                  <c:v>60</c:v>
                </c:pt>
                <c:pt idx="26">
                  <c:v>62</c:v>
                </c:pt>
                <c:pt idx="27">
                  <c:v>62</c:v>
                </c:pt>
                <c:pt idx="28">
                  <c:v>65</c:v>
                </c:pt>
                <c:pt idx="29">
                  <c:v>63</c:v>
                </c:pt>
                <c:pt idx="30">
                  <c:v>60</c:v>
                </c:pt>
              </c:numCache>
            </c:numRef>
          </c:yVal>
        </c:ser>
        <c:axId val="176845568"/>
        <c:axId val="176847488"/>
      </c:scatterChart>
      <c:valAx>
        <c:axId val="176845568"/>
        <c:scaling>
          <c:orientation val="minMax"/>
          <c:max val="31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</c:title>
        <c:numFmt formatCode="General" sourceLinked="1"/>
        <c:tickLblPos val="nextTo"/>
        <c:crossAx val="176847488"/>
        <c:crosses val="autoZero"/>
        <c:crossBetween val="midCat"/>
        <c:majorUnit val="1"/>
      </c:valAx>
      <c:valAx>
        <c:axId val="1768474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 in Degrees F</a:t>
                </a:r>
              </a:p>
            </c:rich>
          </c:tx>
        </c:title>
        <c:numFmt formatCode="General" sourceLinked="1"/>
        <c:tickLblPos val="nextTo"/>
        <c:crossAx val="176845568"/>
        <c:crosses val="autoZero"/>
        <c:crossBetween val="midCat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Volume of Landfill Waste 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DonutGraph!$B$1:$B$2</c:f>
              <c:strCache>
                <c:ptCount val="1"/>
                <c:pt idx="0">
                  <c:v>Volume of Landfill Waste Volume of Landfill Waste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DonutGraph!$A$3:$A$8</c:f>
              <c:strCache>
                <c:ptCount val="6"/>
                <c:pt idx="0">
                  <c:v>Organic Material</c:v>
                </c:pt>
                <c:pt idx="1">
                  <c:v>Glass</c:v>
                </c:pt>
                <c:pt idx="2">
                  <c:v>Metal</c:v>
                </c:pt>
                <c:pt idx="3">
                  <c:v>Plastic</c:v>
                </c:pt>
                <c:pt idx="4">
                  <c:v>Paper</c:v>
                </c:pt>
                <c:pt idx="5">
                  <c:v>Other</c:v>
                </c:pt>
              </c:strCache>
            </c:strRef>
          </c:cat>
          <c:val>
            <c:numRef>
              <c:f>DonutGraph!$B$3:$B$8</c:f>
              <c:numCache>
                <c:formatCode>0%</c:formatCode>
                <c:ptCount val="6"/>
                <c:pt idx="0">
                  <c:v>0.13</c:v>
                </c:pt>
                <c:pt idx="1">
                  <c:v>1.0000000000000005E-2</c:v>
                </c:pt>
                <c:pt idx="2">
                  <c:v>6.0000000000000032E-2</c:v>
                </c:pt>
                <c:pt idx="3">
                  <c:v>0.1</c:v>
                </c:pt>
                <c:pt idx="4">
                  <c:v>0.5</c:v>
                </c:pt>
                <c:pt idx="5">
                  <c:v>0.2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>
        <c:manualLayout>
          <c:layoutTarget val="inner"/>
          <c:xMode val="edge"/>
          <c:yMode val="edge"/>
          <c:x val="2.6478194166960886E-2"/>
          <c:y val="8.3025552775579492E-2"/>
          <c:w val="0.72980146865255391"/>
          <c:h val="0.89251295511191486"/>
        </c:manualLayout>
      </c:layout>
      <c:bubbleChart>
        <c:ser>
          <c:idx val="0"/>
          <c:order val="0"/>
          <c:tx>
            <c:strRef>
              <c:f>Bubble!$B$1</c:f>
              <c:strCache>
                <c:ptCount val="1"/>
                <c:pt idx="0">
                  <c:v>Relative Size Compared to Earth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Pt>
            <c:idx val="4"/>
            <c:bubble3D val="1"/>
            <c:spPr>
              <a:gradFill>
                <a:gsLst>
                  <a:gs pos="0">
                    <a:srgbClr val="FBE4AE"/>
                  </a:gs>
                  <a:gs pos="13000">
                    <a:srgbClr val="BD922A"/>
                  </a:gs>
                  <a:gs pos="21001">
                    <a:srgbClr val="BD922A"/>
                  </a:gs>
                  <a:gs pos="63000">
                    <a:srgbClr val="FBE4AE"/>
                  </a:gs>
                  <a:gs pos="67000">
                    <a:srgbClr val="BD922A"/>
                  </a:gs>
                  <a:gs pos="69000">
                    <a:srgbClr val="835E17"/>
                  </a:gs>
                  <a:gs pos="82001">
                    <a:srgbClr val="A28949"/>
                  </a:gs>
                  <a:gs pos="100000">
                    <a:srgbClr val="FAE3B7"/>
                  </a:gs>
                </a:gsLst>
                <a:lin ang="5400000" scaled="0"/>
              </a:gradFill>
            </c:spPr>
          </c:dPt>
          <c:dPt>
            <c:idx val="5"/>
            <c:bubble3D val="1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Pt>
            <c:idx val="6"/>
            <c:bubble3D val="1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7"/>
            <c:bubble3D val="1"/>
            <c:spPr>
              <a:gradFill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5400000" scaled="0"/>
              </a:gradFill>
            </c:spPr>
          </c:dPt>
          <c:dLbls>
            <c:dLbl>
              <c:idx val="6"/>
              <c:layout>
                <c:manualLayout>
                  <c:x val="-0.12751773666808353"/>
                  <c:y val="-4.0423800578887878E-2"/>
                </c:manualLayout>
              </c:layout>
              <c:dLblPos val="r"/>
              <c:showCatName val="1"/>
            </c:dLbl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r"/>
            <c:showCatName val="1"/>
          </c:dLbls>
          <c:xVal>
            <c:strRef>
              <c:f>Bubble!$A$2:$A$10</c:f>
              <c:strCache>
                <c:ptCount val="9"/>
                <c:pt idx="0">
                  <c:v>Mercury</c:v>
                </c:pt>
                <c:pt idx="1">
                  <c:v>Venus</c:v>
                </c:pt>
                <c:pt idx="2">
                  <c:v>Earth</c:v>
                </c:pt>
                <c:pt idx="3">
                  <c:v>Mars</c:v>
                </c:pt>
                <c:pt idx="4">
                  <c:v>Jupiter</c:v>
                </c:pt>
                <c:pt idx="5">
                  <c:v>Saturn</c:v>
                </c:pt>
                <c:pt idx="6">
                  <c:v>Uranus</c:v>
                </c:pt>
                <c:pt idx="7">
                  <c:v>Neptune</c:v>
                </c:pt>
                <c:pt idx="8">
                  <c:v>Pluto</c:v>
                </c:pt>
              </c:strCache>
            </c:strRef>
          </c:xVal>
          <c:yVal>
            <c:numRef>
              <c:f>Bubble!$B$2:$B$10</c:f>
              <c:numCache>
                <c:formatCode>General</c:formatCode>
                <c:ptCount val="9"/>
                <c:pt idx="0">
                  <c:v>0.38000000000000023</c:v>
                </c:pt>
                <c:pt idx="1">
                  <c:v>0.9500000000000004</c:v>
                </c:pt>
                <c:pt idx="2">
                  <c:v>1</c:v>
                </c:pt>
                <c:pt idx="3">
                  <c:v>0.53</c:v>
                </c:pt>
                <c:pt idx="4">
                  <c:v>11.2</c:v>
                </c:pt>
                <c:pt idx="5">
                  <c:v>9.41</c:v>
                </c:pt>
                <c:pt idx="6">
                  <c:v>4.1099999999999985</c:v>
                </c:pt>
                <c:pt idx="7">
                  <c:v>3.8099999999999987</c:v>
                </c:pt>
                <c:pt idx="8">
                  <c:v>0.2</c:v>
                </c:pt>
              </c:numCache>
            </c:numRef>
          </c:yVal>
          <c:bubbleSize>
            <c:numRef>
              <c:f>Bubble!$C$2:$C$10</c:f>
              <c:numCache>
                <c:formatCode>General</c:formatCode>
                <c:ptCount val="9"/>
                <c:pt idx="0">
                  <c:v>0.38000000000000023</c:v>
                </c:pt>
                <c:pt idx="1">
                  <c:v>0.9500000000000004</c:v>
                </c:pt>
                <c:pt idx="2">
                  <c:v>1</c:v>
                </c:pt>
                <c:pt idx="3">
                  <c:v>0.53</c:v>
                </c:pt>
                <c:pt idx="4">
                  <c:v>11.42</c:v>
                </c:pt>
                <c:pt idx="5">
                  <c:v>9.41</c:v>
                </c:pt>
                <c:pt idx="6">
                  <c:v>4.1099999999999985</c:v>
                </c:pt>
                <c:pt idx="7">
                  <c:v>3.8099999999999987</c:v>
                </c:pt>
                <c:pt idx="8">
                  <c:v>0.2</c:v>
                </c:pt>
              </c:numCache>
            </c:numRef>
          </c:bubbleSize>
          <c:bubble3D val="1"/>
        </c:ser>
        <c:dLbls>
          <c:showVal val="1"/>
        </c:dLbls>
        <c:bubbleScale val="100"/>
        <c:axId val="182043008"/>
        <c:axId val="182044544"/>
      </c:bubbleChart>
      <c:valAx>
        <c:axId val="182043008"/>
        <c:scaling>
          <c:orientation val="minMax"/>
        </c:scaling>
        <c:delete val="1"/>
        <c:axPos val="b"/>
        <c:tickLblPos val="none"/>
        <c:crossAx val="182044544"/>
        <c:crosses val="autoZero"/>
        <c:crossBetween val="midCat"/>
      </c:valAx>
      <c:valAx>
        <c:axId val="182044544"/>
        <c:scaling>
          <c:orientation val="minMax"/>
        </c:scaling>
        <c:delete val="1"/>
        <c:axPos val="l"/>
        <c:numFmt formatCode="General" sourceLinked="1"/>
        <c:tickLblPos val="none"/>
        <c:crossAx val="182043008"/>
        <c:crosses val="autoZero"/>
        <c:crossBetween val="midCat"/>
      </c:valAx>
      <c:spPr>
        <a:solidFill>
          <a:schemeClr val="tx1">
            <a:lumMod val="95000"/>
            <a:lumOff val="5000"/>
          </a:schemeClr>
        </a:solidFill>
      </c:spPr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Profile of Sawtooth </a:t>
            </a:r>
          </a:p>
          <a:p>
            <a:pPr>
              <a:defRPr/>
            </a:pPr>
            <a:r>
              <a:rPr lang="en-US"/>
              <a:t>Mountain </a:t>
            </a:r>
          </a:p>
        </c:rich>
      </c:tx>
      <c:layout>
        <c:manualLayout>
          <c:xMode val="edge"/>
          <c:yMode val="edge"/>
          <c:x val="0.16864588801399824"/>
          <c:y val="5.5555555555555504E-2"/>
        </c:manualLayout>
      </c:layout>
      <c:overlay val="1"/>
    </c:title>
    <c:plotArea>
      <c:layout/>
      <c:areaChart>
        <c:grouping val="standard"/>
        <c:ser>
          <c:idx val="0"/>
          <c:order val="0"/>
          <c:tx>
            <c:strRef>
              <c:f>Area!$B$2</c:f>
              <c:strCache>
                <c:ptCount val="1"/>
                <c:pt idx="0">
                  <c:v>Elevation (feet above sea level)</c:v>
                </c:pt>
              </c:strCache>
            </c:strRef>
          </c:tx>
          <c:val>
            <c:numRef>
              <c:f>Area!$B$3:$B$44</c:f>
              <c:numCache>
                <c:formatCode>General</c:formatCode>
                <c:ptCount val="42"/>
                <c:pt idx="0">
                  <c:v>2400</c:v>
                </c:pt>
                <c:pt idx="1">
                  <c:v>2400</c:v>
                </c:pt>
                <c:pt idx="2">
                  <c:v>2300</c:v>
                </c:pt>
                <c:pt idx="3">
                  <c:v>2200</c:v>
                </c:pt>
                <c:pt idx="4">
                  <c:v>2200</c:v>
                </c:pt>
                <c:pt idx="5">
                  <c:v>2200</c:v>
                </c:pt>
                <c:pt idx="6">
                  <c:v>2200</c:v>
                </c:pt>
                <c:pt idx="7">
                  <c:v>2100</c:v>
                </c:pt>
                <c:pt idx="8">
                  <c:v>2100</c:v>
                </c:pt>
                <c:pt idx="9">
                  <c:v>2100</c:v>
                </c:pt>
                <c:pt idx="10">
                  <c:v>2000</c:v>
                </c:pt>
                <c:pt idx="11">
                  <c:v>2000</c:v>
                </c:pt>
                <c:pt idx="12">
                  <c:v>2100</c:v>
                </c:pt>
                <c:pt idx="13">
                  <c:v>2100</c:v>
                </c:pt>
                <c:pt idx="14">
                  <c:v>2100</c:v>
                </c:pt>
                <c:pt idx="15">
                  <c:v>2100</c:v>
                </c:pt>
                <c:pt idx="16">
                  <c:v>2100</c:v>
                </c:pt>
                <c:pt idx="17">
                  <c:v>2000</c:v>
                </c:pt>
                <c:pt idx="18">
                  <c:v>1900</c:v>
                </c:pt>
                <c:pt idx="19">
                  <c:v>1900</c:v>
                </c:pt>
                <c:pt idx="20">
                  <c:v>1800</c:v>
                </c:pt>
                <c:pt idx="21">
                  <c:v>1800</c:v>
                </c:pt>
                <c:pt idx="22">
                  <c:v>1800</c:v>
                </c:pt>
                <c:pt idx="23">
                  <c:v>1800</c:v>
                </c:pt>
                <c:pt idx="24">
                  <c:v>1700</c:v>
                </c:pt>
                <c:pt idx="25">
                  <c:v>1600</c:v>
                </c:pt>
                <c:pt idx="26">
                  <c:v>1500</c:v>
                </c:pt>
                <c:pt idx="27">
                  <c:v>1400</c:v>
                </c:pt>
                <c:pt idx="28">
                  <c:v>1300</c:v>
                </c:pt>
                <c:pt idx="29">
                  <c:v>1400</c:v>
                </c:pt>
                <c:pt idx="30">
                  <c:v>1500</c:v>
                </c:pt>
                <c:pt idx="31">
                  <c:v>1600</c:v>
                </c:pt>
                <c:pt idx="32">
                  <c:v>1700</c:v>
                </c:pt>
                <c:pt idx="33">
                  <c:v>1800</c:v>
                </c:pt>
                <c:pt idx="34">
                  <c:v>1900</c:v>
                </c:pt>
                <c:pt idx="35">
                  <c:v>2000</c:v>
                </c:pt>
                <c:pt idx="36">
                  <c:v>2000</c:v>
                </c:pt>
                <c:pt idx="37">
                  <c:v>2000</c:v>
                </c:pt>
                <c:pt idx="38">
                  <c:v>2100</c:v>
                </c:pt>
                <c:pt idx="39">
                  <c:v>2100</c:v>
                </c:pt>
                <c:pt idx="40">
                  <c:v>2200</c:v>
                </c:pt>
                <c:pt idx="41">
                  <c:v>2200</c:v>
                </c:pt>
              </c:numCache>
            </c:numRef>
          </c:val>
        </c:ser>
        <c:axId val="183374208"/>
        <c:axId val="183376128"/>
      </c:areaChart>
      <c:catAx>
        <c:axId val="183374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Recording Station</a:t>
                </a:r>
              </a:p>
            </c:rich>
          </c:tx>
        </c:title>
        <c:tickLblPos val="nextTo"/>
        <c:crossAx val="183376128"/>
        <c:crosses val="autoZero"/>
        <c:auto val="1"/>
        <c:lblAlgn val="ctr"/>
        <c:lblOffset val="100"/>
      </c:catAx>
      <c:valAx>
        <c:axId val="1833761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Elevation</a:t>
                </a:r>
              </a:p>
            </c:rich>
          </c:tx>
        </c:title>
        <c:numFmt formatCode="General" sourceLinked="1"/>
        <c:tickLblPos val="nextTo"/>
        <c:crossAx val="183374208"/>
        <c:crosses val="autoZero"/>
        <c:crossBetween val="midCat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Don and Kerri</cp:lastModifiedBy>
  <cp:revision>2</cp:revision>
  <dcterms:created xsi:type="dcterms:W3CDTF">2014-04-07T03:12:00Z</dcterms:created>
  <dcterms:modified xsi:type="dcterms:W3CDTF">2014-04-07T03:12:00Z</dcterms:modified>
</cp:coreProperties>
</file>